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27921604" w:rsidR="00C539B0" w:rsidRPr="0007631D" w:rsidRDefault="00C539B0" w:rsidP="00E4107A">
      <w:pPr>
        <w:tabs>
          <w:tab w:val="right" w:pos="10000"/>
        </w:tabs>
        <w:spacing w:after="0"/>
        <w:jc w:val="both"/>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B81D1D">
        <w:rPr>
          <w:b/>
          <w:sz w:val="24"/>
          <w:szCs w:val="24"/>
        </w:rPr>
        <w:t>AH-1901</w:t>
      </w:r>
      <w:r w:rsidRPr="0007631D">
        <w:rPr>
          <w:b/>
          <w:sz w:val="24"/>
          <w:szCs w:val="24"/>
        </w:rPr>
        <w:tab/>
        <w:t>R1-</w:t>
      </w:r>
      <w:r w:rsidR="00751374">
        <w:rPr>
          <w:b/>
          <w:sz w:val="24"/>
          <w:szCs w:val="24"/>
        </w:rPr>
        <w:t>19</w:t>
      </w:r>
      <w:r w:rsidR="003507FB">
        <w:rPr>
          <w:b/>
          <w:sz w:val="24"/>
          <w:szCs w:val="24"/>
        </w:rPr>
        <w:t>00902</w:t>
      </w:r>
    </w:p>
    <w:p w14:paraId="4405AC25" w14:textId="59D29D56" w:rsidR="00433B47" w:rsidRPr="0007631D" w:rsidRDefault="000F31E7" w:rsidP="00E4107A">
      <w:pPr>
        <w:tabs>
          <w:tab w:val="center" w:pos="4536"/>
          <w:tab w:val="right" w:pos="9072"/>
        </w:tabs>
        <w:spacing w:after="0"/>
        <w:jc w:val="both"/>
        <w:rPr>
          <w:rFonts w:eastAsia="MS Mincho"/>
          <w:b/>
          <w:bCs/>
          <w:sz w:val="24"/>
          <w:szCs w:val="24"/>
          <w:lang w:eastAsia="ja-JP"/>
        </w:rPr>
      </w:pPr>
      <w:r>
        <w:rPr>
          <w:b/>
          <w:bCs/>
          <w:sz w:val="24"/>
          <w:szCs w:val="24"/>
        </w:rPr>
        <w:t>Ja</w:t>
      </w:r>
      <w:r w:rsidR="00B81D1D">
        <w:rPr>
          <w:b/>
          <w:bCs/>
          <w:sz w:val="24"/>
          <w:szCs w:val="24"/>
        </w:rPr>
        <w:t>nuary</w:t>
      </w:r>
      <w:r w:rsidR="003F4789" w:rsidRPr="0007631D">
        <w:rPr>
          <w:b/>
          <w:bCs/>
          <w:sz w:val="24"/>
          <w:szCs w:val="24"/>
        </w:rPr>
        <w:t xml:space="preserve"> </w:t>
      </w:r>
      <w:r w:rsidR="00B81D1D">
        <w:rPr>
          <w:b/>
          <w:bCs/>
          <w:sz w:val="24"/>
          <w:szCs w:val="24"/>
        </w:rPr>
        <w:t>21</w:t>
      </w:r>
      <w:r w:rsidR="00B81D1D">
        <w:rPr>
          <w:b/>
          <w:bCs/>
          <w:sz w:val="24"/>
          <w:szCs w:val="24"/>
          <w:vertAlign w:val="superscript"/>
        </w:rPr>
        <w:t>st</w:t>
      </w:r>
      <w:r w:rsidR="005925C1">
        <w:rPr>
          <w:b/>
          <w:bCs/>
          <w:sz w:val="24"/>
          <w:szCs w:val="24"/>
        </w:rPr>
        <w:t xml:space="preserve"> – </w:t>
      </w:r>
      <w:r w:rsidR="00B81D1D">
        <w:rPr>
          <w:b/>
          <w:bCs/>
          <w:sz w:val="24"/>
          <w:szCs w:val="24"/>
        </w:rPr>
        <w:t>25</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635733A8" w:rsidR="00433B47" w:rsidRPr="0007631D" w:rsidRDefault="00B81D1D" w:rsidP="00E4107A">
      <w:pPr>
        <w:spacing w:after="0"/>
        <w:jc w:val="both"/>
        <w:rPr>
          <w:b/>
          <w:sz w:val="24"/>
          <w:szCs w:val="24"/>
          <w:lang w:eastAsia="zh-CN"/>
        </w:rPr>
      </w:pPr>
      <w:r>
        <w:rPr>
          <w:b/>
          <w:sz w:val="24"/>
          <w:szCs w:val="24"/>
        </w:rPr>
        <w:t>Taipei, Taiwan</w:t>
      </w:r>
    </w:p>
    <w:p w14:paraId="0FF7EEB0" w14:textId="77777777" w:rsidR="00F15C93" w:rsidRPr="0007631D" w:rsidRDefault="00F15C93" w:rsidP="00E4107A">
      <w:pPr>
        <w:pStyle w:val="Footer"/>
        <w:jc w:val="both"/>
        <w:rPr>
          <w:rFonts w:ascii="Times New Roman" w:hAnsi="Times New Roman"/>
          <w:i w:val="0"/>
          <w:noProof w:val="0"/>
        </w:rPr>
      </w:pPr>
    </w:p>
    <w:p w14:paraId="358C9AA6" w14:textId="61889249" w:rsidR="00F15C93" w:rsidRPr="0007631D" w:rsidRDefault="00F15C93" w:rsidP="00E4107A">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D35537">
        <w:rPr>
          <w:b/>
          <w:sz w:val="24"/>
        </w:rPr>
        <w:t>6.4</w:t>
      </w:r>
    </w:p>
    <w:p w14:paraId="612BAA7D" w14:textId="77777777" w:rsidR="004C7081" w:rsidRPr="0007631D" w:rsidRDefault="004C7081" w:rsidP="00E4107A">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6A544654" w:rsidR="004C7081" w:rsidRPr="0007631D" w:rsidRDefault="004C7081" w:rsidP="00E4107A">
      <w:pPr>
        <w:ind w:left="1988" w:hanging="1988"/>
        <w:jc w:val="both"/>
        <w:rPr>
          <w:sz w:val="24"/>
        </w:rPr>
      </w:pPr>
      <w:r w:rsidRPr="0007631D">
        <w:rPr>
          <w:b/>
          <w:sz w:val="24"/>
        </w:rPr>
        <w:t>Title:</w:t>
      </w:r>
      <w:r w:rsidRPr="0007631D">
        <w:rPr>
          <w:sz w:val="24"/>
        </w:rPr>
        <w:t xml:space="preserve"> </w:t>
      </w:r>
      <w:r w:rsidRPr="0007631D">
        <w:rPr>
          <w:sz w:val="22"/>
        </w:rPr>
        <w:tab/>
      </w:r>
      <w:r w:rsidR="00D35537">
        <w:rPr>
          <w:sz w:val="24"/>
        </w:rPr>
        <w:t>Traffic-Type Differentiation for Intra-UE Multiplexing</w:t>
      </w:r>
      <w:r w:rsidR="002807C4">
        <w:rPr>
          <w:sz w:val="24"/>
        </w:rPr>
        <w:t xml:space="preserve"> </w:t>
      </w:r>
    </w:p>
    <w:p w14:paraId="079CB434" w14:textId="77777777" w:rsidR="004C7081" w:rsidRPr="0007631D" w:rsidRDefault="004C7081" w:rsidP="00E4107A">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E4107A">
      <w:pPr>
        <w:pStyle w:val="Heading1"/>
        <w:jc w:val="both"/>
        <w:rPr>
          <w:rFonts w:ascii="Times New Roman" w:hAnsi="Times New Roman"/>
        </w:rPr>
      </w:pPr>
      <w:r w:rsidRPr="0007631D">
        <w:rPr>
          <w:rFonts w:ascii="Times New Roman" w:hAnsi="Times New Roman"/>
        </w:rPr>
        <w:t>Introduction</w:t>
      </w:r>
    </w:p>
    <w:p w14:paraId="3E36F54D" w14:textId="175D9DE7" w:rsidR="0036619F" w:rsidRDefault="00316DA6" w:rsidP="00E4107A">
      <w:pPr>
        <w:jc w:val="both"/>
        <w:rPr>
          <w:rFonts w:asciiTheme="majorBidi" w:hAnsiTheme="majorBidi" w:cstheme="majorBidi"/>
          <w:bCs/>
          <w:iCs/>
        </w:rPr>
      </w:pPr>
      <w:r>
        <w:rPr>
          <w:rFonts w:asciiTheme="majorBidi" w:hAnsiTheme="majorBidi" w:cstheme="majorBidi"/>
          <w:bCs/>
          <w:iCs/>
        </w:rPr>
        <w:t>Dur</w:t>
      </w:r>
      <w:r w:rsidR="004D7867">
        <w:rPr>
          <w:rFonts w:asciiTheme="majorBidi" w:hAnsiTheme="majorBidi" w:cstheme="majorBidi"/>
          <w:bCs/>
          <w:iCs/>
        </w:rPr>
        <w:t>ing the R2#104</w:t>
      </w:r>
      <w:r>
        <w:rPr>
          <w:rFonts w:asciiTheme="majorBidi" w:hAnsiTheme="majorBidi" w:cstheme="majorBidi"/>
          <w:bCs/>
          <w:iCs/>
        </w:rPr>
        <w:t xml:space="preserve"> meeting</w:t>
      </w:r>
      <w:r w:rsidR="004D7867">
        <w:rPr>
          <w:rFonts w:asciiTheme="majorBidi" w:hAnsiTheme="majorBidi" w:cstheme="majorBidi"/>
          <w:bCs/>
          <w:iCs/>
        </w:rPr>
        <w:t>, the issue of multiplexing</w:t>
      </w:r>
      <w:r>
        <w:rPr>
          <w:rFonts w:asciiTheme="majorBidi" w:hAnsiTheme="majorBidi" w:cstheme="majorBidi"/>
          <w:bCs/>
          <w:iCs/>
        </w:rPr>
        <w:t xml:space="preserve"> and prioritization of colliding</w:t>
      </w:r>
      <w:r w:rsidR="004D7867">
        <w:rPr>
          <w:rFonts w:asciiTheme="majorBidi" w:hAnsiTheme="majorBidi" w:cstheme="majorBidi"/>
          <w:bCs/>
          <w:iCs/>
        </w:rPr>
        <w:t xml:space="preserve"> channels associated with </w:t>
      </w:r>
      <w:proofErr w:type="spellStart"/>
      <w:r w:rsidR="004D7867">
        <w:rPr>
          <w:rFonts w:asciiTheme="majorBidi" w:hAnsiTheme="majorBidi" w:cstheme="majorBidi"/>
          <w:bCs/>
          <w:iCs/>
        </w:rPr>
        <w:t>eMBB</w:t>
      </w:r>
      <w:proofErr w:type="spellEnd"/>
      <w:r w:rsidR="004D7867">
        <w:rPr>
          <w:rFonts w:asciiTheme="majorBidi" w:hAnsiTheme="majorBidi" w:cstheme="majorBidi"/>
          <w:bCs/>
          <w:iCs/>
        </w:rPr>
        <w:t xml:space="preserve"> and </w:t>
      </w:r>
      <w:proofErr w:type="spellStart"/>
      <w:r w:rsidR="004D7867">
        <w:rPr>
          <w:rFonts w:asciiTheme="majorBidi" w:hAnsiTheme="majorBidi" w:cstheme="majorBidi"/>
          <w:bCs/>
          <w:iCs/>
        </w:rPr>
        <w:t>eURLLC</w:t>
      </w:r>
      <w:proofErr w:type="spellEnd"/>
      <w:r w:rsidR="004D7867">
        <w:rPr>
          <w:rFonts w:asciiTheme="majorBidi" w:hAnsiTheme="majorBidi" w:cstheme="majorBidi"/>
          <w:bCs/>
          <w:iCs/>
        </w:rPr>
        <w:t xml:space="preserve"> served by the same UE was discussed. Several scenarios of interest are identified as summarized in [1].</w:t>
      </w:r>
      <w:r>
        <w:rPr>
          <w:rFonts w:asciiTheme="majorBidi" w:hAnsiTheme="majorBidi" w:cstheme="majorBidi"/>
          <w:bCs/>
          <w:iCs/>
        </w:rPr>
        <w:t xml:space="preserve"> </w:t>
      </w:r>
      <w:proofErr w:type="gramStart"/>
      <w:r>
        <w:rPr>
          <w:rFonts w:asciiTheme="majorBidi" w:hAnsiTheme="majorBidi" w:cstheme="majorBidi"/>
          <w:bCs/>
          <w:iCs/>
        </w:rPr>
        <w:t>A short list</w:t>
      </w:r>
      <w:proofErr w:type="gramEnd"/>
      <w:r>
        <w:rPr>
          <w:rFonts w:asciiTheme="majorBidi" w:hAnsiTheme="majorBidi" w:cstheme="majorBidi"/>
          <w:bCs/>
          <w:iCs/>
        </w:rPr>
        <w:t xml:space="preserve"> of these scenarios is given as follows:</w:t>
      </w:r>
    </w:p>
    <w:p w14:paraId="4C86BED5" w14:textId="36A7AD1B"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1</w:t>
      </w:r>
      <w:r w:rsidRPr="00CF67E5">
        <w:rPr>
          <w:rFonts w:ascii="Times New Roman" w:hAnsi="Times New Roman"/>
          <w:sz w:val="20"/>
        </w:rPr>
        <w:t>:</w:t>
      </w:r>
      <w:r w:rsidRPr="00316DA6">
        <w:rPr>
          <w:rFonts w:ascii="Times New Roman" w:hAnsi="Times New Roman"/>
          <w:b w:val="0"/>
          <w:sz w:val="20"/>
        </w:rPr>
        <w:t xml:space="preserve"> Intra-UE DL Prioritization</w:t>
      </w:r>
    </w:p>
    <w:p w14:paraId="73150497" w14:textId="59A8B847"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2</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Configured and Dynamic Grant</w:t>
      </w:r>
    </w:p>
    <w:p w14:paraId="1897BD73" w14:textId="38B262F8"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3</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Dynamic Grants</w:t>
      </w:r>
    </w:p>
    <w:p w14:paraId="3EF768F7" w14:textId="2E8BA281"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4</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Control Channel and Control Channel</w:t>
      </w:r>
    </w:p>
    <w:p w14:paraId="154CEA3D" w14:textId="3DE6039C"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5</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Control Channel and Data Channel</w:t>
      </w:r>
    </w:p>
    <w:p w14:paraId="47243F66" w14:textId="3C253BDB"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6</w:t>
      </w:r>
      <w:r w:rsidRPr="00CF67E5">
        <w:rPr>
          <w:rFonts w:ascii="Times New Roman" w:hAnsi="Times New Roman"/>
          <w:sz w:val="20"/>
        </w:rPr>
        <w:t>:</w:t>
      </w:r>
      <w:r w:rsidRPr="00316DA6">
        <w:rPr>
          <w:rFonts w:ascii="Times New Roman" w:hAnsi="Times New Roman"/>
          <w:b w:val="0"/>
          <w:sz w:val="20"/>
        </w:rPr>
        <w:t xml:space="preserve"> Intra-UE UL Prioritization – CA-based Concurrent Transmission with Power Limitation</w:t>
      </w:r>
    </w:p>
    <w:p w14:paraId="320B468C" w14:textId="7B7625A2" w:rsidR="00E4107A" w:rsidRPr="00E4107A"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7</w:t>
      </w:r>
      <w:r w:rsidRPr="00CF67E5">
        <w:rPr>
          <w:rFonts w:ascii="Times New Roman" w:hAnsi="Times New Roman"/>
          <w:sz w:val="20"/>
        </w:rPr>
        <w:t>:</w:t>
      </w:r>
      <w:r w:rsidRPr="00316DA6">
        <w:rPr>
          <w:rFonts w:ascii="Times New Roman" w:hAnsi="Times New Roman"/>
          <w:b w:val="0"/>
          <w:sz w:val="20"/>
        </w:rPr>
        <w:t xml:space="preserve"> Intra-UE UL Prioritization – Power Control for Traffics with Different Priorities</w:t>
      </w:r>
    </w:p>
    <w:p w14:paraId="5D4FBFFB" w14:textId="1C5906FF" w:rsidR="006D7EB1" w:rsidRPr="00214148" w:rsidRDefault="006D7EB1" w:rsidP="00E4107A">
      <w:pPr>
        <w:jc w:val="both"/>
        <w:rPr>
          <w:rFonts w:asciiTheme="majorBidi" w:hAnsiTheme="majorBidi" w:cstheme="majorBidi"/>
          <w:bCs/>
          <w:iCs/>
        </w:rPr>
      </w:pPr>
      <w:r>
        <w:rPr>
          <w:rFonts w:asciiTheme="majorBidi" w:hAnsiTheme="majorBidi" w:cstheme="majorBidi"/>
          <w:bCs/>
          <w:iCs/>
        </w:rPr>
        <w:t>In the subsequent section of thi</w:t>
      </w:r>
      <w:r w:rsidR="00E75F2C">
        <w:rPr>
          <w:rFonts w:asciiTheme="majorBidi" w:hAnsiTheme="majorBidi" w:cstheme="majorBidi"/>
          <w:bCs/>
          <w:iCs/>
        </w:rPr>
        <w:t xml:space="preserve">s paper, we briefly discuss </w:t>
      </w:r>
      <w:r w:rsidR="00E4107A">
        <w:rPr>
          <w:rFonts w:asciiTheme="majorBidi" w:hAnsiTheme="majorBidi" w:cstheme="majorBidi"/>
          <w:bCs/>
          <w:iCs/>
        </w:rPr>
        <w:t>each scenario separately</w:t>
      </w:r>
      <w:r w:rsidR="00E75F2C">
        <w:rPr>
          <w:rFonts w:asciiTheme="majorBidi" w:hAnsiTheme="majorBidi" w:cstheme="majorBidi"/>
          <w:bCs/>
          <w:iCs/>
        </w:rPr>
        <w:t xml:space="preserve">, and propose a solution enabling the UE to perform multiplexing and/or dropping </w:t>
      </w:r>
      <w:r w:rsidR="00E4107A">
        <w:rPr>
          <w:rFonts w:asciiTheme="majorBidi" w:hAnsiTheme="majorBidi" w:cstheme="majorBidi"/>
          <w:bCs/>
          <w:iCs/>
        </w:rPr>
        <w:t xml:space="preserve">operations </w:t>
      </w:r>
      <w:r w:rsidR="00E75F2C">
        <w:rPr>
          <w:rFonts w:asciiTheme="majorBidi" w:hAnsiTheme="majorBidi" w:cstheme="majorBidi"/>
          <w:bCs/>
          <w:iCs/>
        </w:rPr>
        <w:t xml:space="preserve">according </w:t>
      </w:r>
      <w:r w:rsidR="00E4107A">
        <w:rPr>
          <w:rFonts w:asciiTheme="majorBidi" w:hAnsiTheme="majorBidi" w:cstheme="majorBidi"/>
          <w:bCs/>
          <w:iCs/>
        </w:rPr>
        <w:t xml:space="preserve">to </w:t>
      </w:r>
      <w:r w:rsidR="00E75F2C">
        <w:rPr>
          <w:rFonts w:asciiTheme="majorBidi" w:hAnsiTheme="majorBidi" w:cstheme="majorBidi"/>
          <w:bCs/>
          <w:iCs/>
        </w:rPr>
        <w:t>the priority level assigned to each channel.</w:t>
      </w:r>
    </w:p>
    <w:p w14:paraId="0E07AC2D" w14:textId="1F3CA25D" w:rsidR="006838AD" w:rsidRDefault="00E4107A" w:rsidP="00E4107A">
      <w:pPr>
        <w:pStyle w:val="Heading1"/>
        <w:jc w:val="both"/>
        <w:rPr>
          <w:rFonts w:ascii="Times New Roman" w:hAnsi="Times New Roman"/>
        </w:rPr>
      </w:pPr>
      <w:r>
        <w:rPr>
          <w:rFonts w:ascii="Times New Roman" w:hAnsi="Times New Roman"/>
        </w:rPr>
        <w:t xml:space="preserve">Intra-UE Multiplexing and Prioritization </w:t>
      </w:r>
    </w:p>
    <w:p w14:paraId="05469366" w14:textId="30E9071D" w:rsidR="00046296" w:rsidRDefault="00E4107A" w:rsidP="00E4107A">
      <w:pPr>
        <w:jc w:val="both"/>
        <w:rPr>
          <w:lang w:val="en-GB"/>
        </w:rPr>
      </w:pPr>
      <w:r>
        <w:rPr>
          <w:lang w:val="en-GB"/>
        </w:rPr>
        <w:t xml:space="preserve">Considering the identified scenarios, the following points can be considered for a UE supporting services with different traffic types, e.g., </w:t>
      </w:r>
      <w:proofErr w:type="spellStart"/>
      <w:r>
        <w:rPr>
          <w:lang w:val="en-GB"/>
        </w:rPr>
        <w:t>eMBB</w:t>
      </w:r>
      <w:proofErr w:type="spellEnd"/>
      <w:r>
        <w:rPr>
          <w:lang w:val="en-GB"/>
        </w:rPr>
        <w:t xml:space="preserve"> and </w:t>
      </w:r>
      <w:proofErr w:type="spellStart"/>
      <w:r>
        <w:rPr>
          <w:lang w:val="en-GB"/>
        </w:rPr>
        <w:t>eURLLC</w:t>
      </w:r>
      <w:proofErr w:type="spellEnd"/>
      <w:r>
        <w:rPr>
          <w:lang w:val="en-GB"/>
        </w:rPr>
        <w:t>:</w:t>
      </w:r>
    </w:p>
    <w:p w14:paraId="066C20D1" w14:textId="49C89E1E" w:rsidR="00E4107A" w:rsidRDefault="00E4107A" w:rsidP="00E4107A">
      <w:pPr>
        <w:jc w:val="both"/>
      </w:pPr>
      <w:r w:rsidRPr="00530393">
        <w:rPr>
          <w:b/>
          <w:u w:val="single"/>
        </w:rPr>
        <w:t xml:space="preserve">Scenario </w:t>
      </w:r>
      <w:r w:rsidR="00D01CAE">
        <w:rPr>
          <w:b/>
          <w:u w:val="single"/>
        </w:rPr>
        <w:t>#</w:t>
      </w:r>
      <w:r w:rsidRPr="00530393">
        <w:rPr>
          <w:b/>
          <w:u w:val="single"/>
        </w:rPr>
        <w:t>1</w:t>
      </w:r>
      <w:r w:rsidRPr="00530393">
        <w:rPr>
          <w:b/>
        </w:rPr>
        <w:t>:</w:t>
      </w:r>
      <w:r w:rsidRPr="00E4107A">
        <w:t xml:space="preserve"> </w:t>
      </w:r>
      <w:r>
        <w:t xml:space="preserve">In a network supporting a mixture of </w:t>
      </w:r>
      <w:proofErr w:type="spellStart"/>
      <w:r>
        <w:t>eMBB</w:t>
      </w:r>
      <w:proofErr w:type="spellEnd"/>
      <w:r>
        <w:t xml:space="preserve"> and </w:t>
      </w:r>
      <w:proofErr w:type="spellStart"/>
      <w:r>
        <w:t>eURLLC</w:t>
      </w:r>
      <w:proofErr w:type="spellEnd"/>
      <w:r>
        <w:t xml:space="preserve"> services, the network may decide to reclaim some of the </w:t>
      </w:r>
      <w:r w:rsidR="001D4ACF">
        <w:t xml:space="preserve">downlink </w:t>
      </w:r>
      <w:r>
        <w:t xml:space="preserve">resources given to UE1 and assign them to UE2. This case happens when UE1 has an </w:t>
      </w:r>
      <w:proofErr w:type="spellStart"/>
      <w:r>
        <w:t>eMBB</w:t>
      </w:r>
      <w:proofErr w:type="spellEnd"/>
      <w:r>
        <w:t xml:space="preserve"> data, whereas UE2 has a data with a higher priority. </w:t>
      </w:r>
      <w:r w:rsidR="00CF67E5">
        <w:t xml:space="preserve">However, UE1 may also have a higher priority traffic. </w:t>
      </w:r>
      <w:r w:rsidR="00530393">
        <w:t xml:space="preserve">In such a case, the preemption command should not be applied to the resources assigned to the high priority data of UE1. To accomplish this task, UE1 </w:t>
      </w:r>
      <w:r w:rsidR="001466C7">
        <w:t xml:space="preserve">should be able to infer the priority of each channel. </w:t>
      </w:r>
      <w:r w:rsidR="00D45114">
        <w:t xml:space="preserve">In another example, the </w:t>
      </w:r>
      <w:proofErr w:type="spellStart"/>
      <w:r w:rsidR="00D45114">
        <w:t>gNB</w:t>
      </w:r>
      <w:proofErr w:type="spellEnd"/>
      <w:r w:rsidR="00D45114">
        <w:t xml:space="preserve"> may decide to reclaim the resources assigned to UE1 for receiving a low priority data and transmit high priority data to the same UE. In both examples</w:t>
      </w:r>
      <w:r w:rsidR="001466C7">
        <w:t>, a differentiation scheme at the PHY layer is needed.</w:t>
      </w:r>
    </w:p>
    <w:p w14:paraId="68A5704D" w14:textId="6711E720" w:rsidR="001466C7" w:rsidRDefault="001466C7" w:rsidP="00E4107A">
      <w:pPr>
        <w:jc w:val="both"/>
      </w:pPr>
      <w:r w:rsidRPr="001466C7">
        <w:rPr>
          <w:b/>
          <w:u w:val="single"/>
        </w:rPr>
        <w:t xml:space="preserve">Scenario </w:t>
      </w:r>
      <w:r w:rsidR="00D01CAE">
        <w:rPr>
          <w:b/>
          <w:u w:val="single"/>
        </w:rPr>
        <w:t>#</w:t>
      </w:r>
      <w:r w:rsidRPr="001466C7">
        <w:rPr>
          <w:b/>
          <w:u w:val="single"/>
        </w:rPr>
        <w:t>2:</w:t>
      </w:r>
      <w:r w:rsidRPr="005F30BD">
        <w:t xml:space="preserve"> </w:t>
      </w:r>
      <w:r w:rsidR="005F30BD" w:rsidRPr="005F30BD">
        <w:t>When dynamic a</w:t>
      </w:r>
      <w:r w:rsidR="005F30BD">
        <w:t>nd configured uplink chann</w:t>
      </w:r>
      <w:r w:rsidR="001D4ACF">
        <w:t>el</w:t>
      </w:r>
      <w:r w:rsidR="005F30BD">
        <w:t xml:space="preserve">s collide and </w:t>
      </w:r>
      <w:proofErr w:type="spellStart"/>
      <w:r w:rsidR="005F30BD">
        <w:t>simultanoues</w:t>
      </w:r>
      <w:proofErr w:type="spellEnd"/>
      <w:r w:rsidR="005F30BD">
        <w:t xml:space="preserve"> uplink transmission is not an option, the UE should be able to prioritize one channel over the other based on the </w:t>
      </w:r>
      <w:r w:rsidR="001D4ACF">
        <w:t xml:space="preserve">data </w:t>
      </w:r>
      <w:r w:rsidR="005F30BD">
        <w:t xml:space="preserve">priority. </w:t>
      </w:r>
      <w:r w:rsidR="00D01CAE">
        <w:t>In particular, the UE should be able to determine whether the configured resources and the dynamic resources are associated with the low or high priority traffic types. For determining a priority of the dynamic resources, a traffic-type differentiation method at the PHY layer is needed.</w:t>
      </w:r>
    </w:p>
    <w:p w14:paraId="3162BF4A" w14:textId="0432518A" w:rsidR="00D01CAE" w:rsidRDefault="00D01CAE" w:rsidP="00E4107A">
      <w:pPr>
        <w:jc w:val="both"/>
      </w:pPr>
      <w:r w:rsidRPr="00D01CAE">
        <w:rPr>
          <w:b/>
          <w:u w:val="single"/>
        </w:rPr>
        <w:t>Scenario #3</w:t>
      </w:r>
      <w:r w:rsidRPr="00D01CAE">
        <w:rPr>
          <w:b/>
        </w:rPr>
        <w:t>:</w:t>
      </w:r>
      <w:r>
        <w:t xml:space="preserve"> </w:t>
      </w:r>
      <w:proofErr w:type="gramStart"/>
      <w:r>
        <w:t>Similar to</w:t>
      </w:r>
      <w:proofErr w:type="gramEnd"/>
      <w:r>
        <w:t xml:space="preserve"> Scenario #2, enabling a traffic-type differentiation method at the PHY layer is desirable.</w:t>
      </w:r>
    </w:p>
    <w:p w14:paraId="196EC0E6" w14:textId="5E21A060" w:rsidR="00D01CAE" w:rsidRDefault="00D01CAE" w:rsidP="00E4107A">
      <w:pPr>
        <w:jc w:val="both"/>
      </w:pPr>
      <w:r w:rsidRPr="00D01CAE">
        <w:rPr>
          <w:b/>
          <w:u w:val="single"/>
        </w:rPr>
        <w:t>Scenario #4</w:t>
      </w:r>
      <w:r w:rsidRPr="00D01CAE">
        <w:rPr>
          <w:b/>
        </w:rPr>
        <w:t>:</w:t>
      </w:r>
      <w:r>
        <w:t xml:space="preserve"> One case that may take place under Scenario #4 is that the PUCCH resource carrying HARQ-ACK of a low priority data</w:t>
      </w:r>
      <w:r w:rsidR="00AD437C">
        <w:t xml:space="preserve">, e.g., </w:t>
      </w:r>
      <w:proofErr w:type="spellStart"/>
      <w:r w:rsidR="00AD437C">
        <w:t>eMBB</w:t>
      </w:r>
      <w:proofErr w:type="spellEnd"/>
      <w:r w:rsidR="00AD437C">
        <w:t>,</w:t>
      </w:r>
      <w:r>
        <w:t xml:space="preserve"> collides with the PUCCH resource carrying HARQ-ACK of high priority data</w:t>
      </w:r>
      <w:r w:rsidR="001D4ACF">
        <w:t>, e.g.,</w:t>
      </w:r>
      <w:r w:rsidR="00AD437C">
        <w:t xml:space="preserve"> </w:t>
      </w:r>
      <w:proofErr w:type="spellStart"/>
      <w:r w:rsidR="00AD437C">
        <w:t>eURLLC</w:t>
      </w:r>
      <w:proofErr w:type="spellEnd"/>
      <w:r>
        <w:t xml:space="preserve">. Given the reliability requirement of </w:t>
      </w:r>
      <w:proofErr w:type="spellStart"/>
      <w:r w:rsidR="00D27A36">
        <w:t>eURLLC</w:t>
      </w:r>
      <w:proofErr w:type="spellEnd"/>
      <w:r w:rsidR="00D27A36">
        <w:t xml:space="preserve">, it is reasonable to protect its DL HARQ-ACK to the extent possible, i.e., the transmission of PUCCH associated with </w:t>
      </w:r>
      <w:proofErr w:type="spellStart"/>
      <w:r w:rsidR="00D27A36">
        <w:t>eURLLC</w:t>
      </w:r>
      <w:proofErr w:type="spellEnd"/>
      <w:r w:rsidR="00D27A36">
        <w:t xml:space="preserve"> should be prioritized over the transmission of DL HARQ-ACK of </w:t>
      </w:r>
      <w:proofErr w:type="spellStart"/>
      <w:r w:rsidR="00D27A36">
        <w:t>eMBB</w:t>
      </w:r>
      <w:proofErr w:type="spellEnd"/>
      <w:r w:rsidR="00D27A36">
        <w:t>.</w:t>
      </w:r>
      <w:r w:rsidR="00AD437C">
        <w:t xml:space="preserve"> </w:t>
      </w:r>
      <w:r w:rsidR="00AD437C">
        <w:lastRenderedPageBreak/>
        <w:t>To do this, the priority of different PUCCH channels should be indicated through the DL grant triggering PDSCH associated with each of them.</w:t>
      </w:r>
    </w:p>
    <w:p w14:paraId="08046564" w14:textId="59068343" w:rsidR="00AD437C" w:rsidRDefault="00AD437C" w:rsidP="00E4107A">
      <w:pPr>
        <w:jc w:val="both"/>
      </w:pPr>
      <w:r w:rsidRPr="00AD437C">
        <w:rPr>
          <w:b/>
          <w:u w:val="single"/>
        </w:rPr>
        <w:t>Scenario #5:</w:t>
      </w:r>
      <w:r w:rsidRPr="008B3285">
        <w:t xml:space="preserve"> This case is also </w:t>
      </w:r>
      <w:proofErr w:type="gramStart"/>
      <w:r w:rsidRPr="008B3285">
        <w:t>similar to</w:t>
      </w:r>
      <w:proofErr w:type="gramEnd"/>
      <w:r w:rsidRPr="008B3285">
        <w:t xml:space="preserve"> Scenario #4. The UE should be able to determine the priority of the overlapping PUSCH and PUCCH </w:t>
      </w:r>
      <w:proofErr w:type="gramStart"/>
      <w:r w:rsidRPr="008B3285">
        <w:t>in order to</w:t>
      </w:r>
      <w:proofErr w:type="gramEnd"/>
      <w:r w:rsidRPr="008B3285">
        <w:t xml:space="preserve"> be able to protect the one associated with higher priority data.</w:t>
      </w:r>
    </w:p>
    <w:p w14:paraId="76AF9269" w14:textId="24DB914D" w:rsidR="007C6AF8" w:rsidRDefault="000B0C4C" w:rsidP="00E4107A">
      <w:pPr>
        <w:jc w:val="both"/>
      </w:pPr>
      <w:r w:rsidRPr="00AD437C">
        <w:rPr>
          <w:b/>
          <w:u w:val="single"/>
        </w:rPr>
        <w:t>Scenario #</w:t>
      </w:r>
      <w:r>
        <w:rPr>
          <w:b/>
          <w:u w:val="single"/>
        </w:rPr>
        <w:t>6 and 7</w:t>
      </w:r>
      <w:r w:rsidRPr="00AD437C">
        <w:rPr>
          <w:b/>
          <w:u w:val="single"/>
        </w:rPr>
        <w:t>:</w:t>
      </w:r>
      <w:r w:rsidRPr="00DA0778">
        <w:t xml:space="preserve"> </w:t>
      </w:r>
      <w:r w:rsidR="007C6AF8">
        <w:t xml:space="preserve">Under both scenarios, the UE needs to determine the power of an uplink channel; the power level is associated with the priority of the channel. Hence, </w:t>
      </w:r>
      <w:proofErr w:type="gramStart"/>
      <w:r w:rsidR="007C6AF8">
        <w:t>similar to</w:t>
      </w:r>
      <w:proofErr w:type="gramEnd"/>
      <w:r w:rsidR="007C6AF8">
        <w:t xml:space="preserve"> all previous cases, the UE should be able to distinguish between channels with different priority levels at the PHY layer.</w:t>
      </w:r>
    </w:p>
    <w:p w14:paraId="6EA782BF" w14:textId="09EA61B8" w:rsidR="00D74483" w:rsidRPr="007C6AF8" w:rsidRDefault="00DE79F9" w:rsidP="00E4107A">
      <w:pPr>
        <w:jc w:val="both"/>
        <w:rPr>
          <w:b/>
        </w:rPr>
      </w:pPr>
      <w:r>
        <w:t>Ba</w:t>
      </w:r>
      <w:r w:rsidR="007C6AF8">
        <w:t>sed on the discussion above, we propose:</w:t>
      </w:r>
      <w:r w:rsidR="00DA0778" w:rsidRPr="00DA0778">
        <w:t xml:space="preserve"> </w:t>
      </w:r>
    </w:p>
    <w:p w14:paraId="58461BC6" w14:textId="77777777" w:rsidR="00DE79F9" w:rsidRDefault="00D74483" w:rsidP="00E4107A">
      <w:pPr>
        <w:jc w:val="both"/>
        <w:rPr>
          <w:b/>
          <w:lang w:val="en-GB"/>
        </w:rPr>
      </w:pPr>
      <w:r w:rsidRPr="00D74483">
        <w:rPr>
          <w:b/>
          <w:lang w:val="en-GB"/>
        </w:rPr>
        <w:t xml:space="preserve">Proposal 1: </w:t>
      </w:r>
      <w:r w:rsidR="00DE79F9">
        <w:rPr>
          <w:b/>
          <w:lang w:val="en-GB"/>
        </w:rPr>
        <w:t>For a Rel. 16 UE supporting traffic types of different priorities, support traffic-type differentiation at the physical layer.</w:t>
      </w:r>
    </w:p>
    <w:p w14:paraId="31D9C1EA" w14:textId="3A305CA8" w:rsidR="00D74483" w:rsidRPr="00A51595" w:rsidRDefault="00A51595" w:rsidP="00E4107A">
      <w:pPr>
        <w:jc w:val="both"/>
        <w:rPr>
          <w:lang w:val="en-GB"/>
        </w:rPr>
      </w:pPr>
      <w:r w:rsidRPr="00A51595">
        <w:rPr>
          <w:lang w:val="en-GB"/>
        </w:rPr>
        <w:t>Traffic-type differentiation at the PHY layer can be done in different ways, e.g., based on DCI format, RNTI, etc. The details of how this is done, and the details of multiplexing and dropping operations can further be discussed when the WI phase started.</w:t>
      </w:r>
    </w:p>
    <w:p w14:paraId="1D923B10" w14:textId="388FB7B5" w:rsidR="003A3006" w:rsidRDefault="00B53AB0" w:rsidP="00E4107A">
      <w:pPr>
        <w:pStyle w:val="Heading1"/>
        <w:jc w:val="both"/>
        <w:rPr>
          <w:rFonts w:ascii="Times New Roman" w:hAnsi="Times New Roman"/>
        </w:rPr>
      </w:pPr>
      <w:r>
        <w:rPr>
          <w:rFonts w:ascii="Times New Roman" w:hAnsi="Times New Roman"/>
        </w:rPr>
        <w:t>Conclusion</w:t>
      </w:r>
    </w:p>
    <w:p w14:paraId="6C22B6F0" w14:textId="6C621AB7" w:rsidR="004F69E9" w:rsidRPr="00DE79F9" w:rsidRDefault="00DE79F9" w:rsidP="00E4107A">
      <w:pPr>
        <w:jc w:val="both"/>
        <w:rPr>
          <w:b/>
          <w:lang w:val="en-GB"/>
        </w:rPr>
      </w:pPr>
      <w:bookmarkStart w:id="3" w:name="_Ref450583331"/>
      <w:bookmarkEnd w:id="3"/>
      <w:r w:rsidRPr="00D74483">
        <w:rPr>
          <w:b/>
          <w:lang w:val="en-GB"/>
        </w:rPr>
        <w:t xml:space="preserve">Proposal 1: </w:t>
      </w:r>
      <w:r>
        <w:rPr>
          <w:b/>
          <w:lang w:val="en-GB"/>
        </w:rPr>
        <w:t>For a Rel. 16 UE supporting traffic types of different priorities, support traffic-type differentiation at the physical layer.</w:t>
      </w:r>
    </w:p>
    <w:p w14:paraId="09B93BAA" w14:textId="195BF5C3" w:rsidR="004D7867" w:rsidRDefault="004D7867" w:rsidP="00E4107A">
      <w:pPr>
        <w:pStyle w:val="Heading1"/>
        <w:jc w:val="both"/>
        <w:rPr>
          <w:rFonts w:ascii="Times New Roman" w:hAnsi="Times New Roman"/>
        </w:rPr>
      </w:pPr>
      <w:r>
        <w:rPr>
          <w:rFonts w:ascii="Times New Roman" w:hAnsi="Times New Roman"/>
        </w:rPr>
        <w:t>References</w:t>
      </w:r>
    </w:p>
    <w:p w14:paraId="77EFF973" w14:textId="1051FE57" w:rsidR="004D7867" w:rsidRPr="004D7867" w:rsidRDefault="004D7867" w:rsidP="00E4107A">
      <w:pPr>
        <w:jc w:val="both"/>
        <w:rPr>
          <w:b/>
          <w:lang w:val="en-GB"/>
        </w:rPr>
      </w:pPr>
      <w:r w:rsidRPr="004D7867">
        <w:rPr>
          <w:b/>
          <w:lang w:val="en-GB"/>
        </w:rPr>
        <w:t xml:space="preserve">[1] R1-1814342, “LS on Intra-UE </w:t>
      </w:r>
      <w:proofErr w:type="spellStart"/>
      <w:r w:rsidRPr="004D7867">
        <w:rPr>
          <w:b/>
          <w:lang w:val="en-GB"/>
        </w:rPr>
        <w:t>Prioritzation</w:t>
      </w:r>
      <w:proofErr w:type="spellEnd"/>
      <w:r w:rsidRPr="004D7867">
        <w:rPr>
          <w:b/>
          <w:lang w:val="en-GB"/>
        </w:rPr>
        <w:t>/Multiplexing”</w:t>
      </w:r>
    </w:p>
    <w:p w14:paraId="27768AD8" w14:textId="77777777" w:rsidR="004D7867" w:rsidRPr="004F69E9" w:rsidRDefault="004D7867" w:rsidP="00E4107A">
      <w:pPr>
        <w:jc w:val="both"/>
      </w:pPr>
    </w:p>
    <w:sectPr w:rsidR="004D7867" w:rsidRPr="004F69E9"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75529" w14:textId="77777777" w:rsidR="00D527A8" w:rsidRDefault="00D527A8">
      <w:r>
        <w:separator/>
      </w:r>
    </w:p>
  </w:endnote>
  <w:endnote w:type="continuationSeparator" w:id="0">
    <w:p w14:paraId="170FAE25" w14:textId="77777777" w:rsidR="00D527A8" w:rsidRDefault="00D527A8">
      <w:r>
        <w:continuationSeparator/>
      </w:r>
    </w:p>
  </w:endnote>
  <w:endnote w:type="continuationNotice" w:id="1">
    <w:p w14:paraId="2B3999F6" w14:textId="77777777" w:rsidR="00D527A8" w:rsidRDefault="00D52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6880" w14:textId="77777777" w:rsidR="00D527A8" w:rsidRDefault="00D527A8">
      <w:r>
        <w:separator/>
      </w:r>
    </w:p>
  </w:footnote>
  <w:footnote w:type="continuationSeparator" w:id="0">
    <w:p w14:paraId="4636513E" w14:textId="77777777" w:rsidR="00D527A8" w:rsidRDefault="00D527A8">
      <w:r>
        <w:continuationSeparator/>
      </w:r>
    </w:p>
  </w:footnote>
  <w:footnote w:type="continuationNotice" w:id="1">
    <w:p w14:paraId="6588C79A" w14:textId="77777777" w:rsidR="00D527A8" w:rsidRDefault="00D52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0"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lvlOverride w:ilvl="0">
      <w:startOverride w:val="1"/>
    </w:lvlOverride>
  </w:num>
  <w:num w:numId="4">
    <w:abstractNumId w:val="12"/>
  </w:num>
  <w:num w:numId="5">
    <w:abstractNumId w:val="11"/>
  </w:num>
  <w:num w:numId="6">
    <w:abstractNumId w:val="5"/>
  </w:num>
  <w:num w:numId="7">
    <w:abstractNumId w:val="3"/>
  </w:num>
  <w:num w:numId="8">
    <w:abstractNumId w:val="9"/>
  </w:num>
  <w:num w:numId="9">
    <w:abstractNumId w:val="7"/>
  </w:num>
  <w:num w:numId="10">
    <w:abstractNumId w:val="10"/>
  </w:num>
  <w:num w:numId="11">
    <w:abstractNumId w:val="2"/>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C4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1E7"/>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6C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BAB"/>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5C24"/>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CF"/>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148"/>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DA6"/>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1D8"/>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7FB"/>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D7867"/>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17"/>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393"/>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0BD"/>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B1"/>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374"/>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AF8"/>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285"/>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595"/>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7E7"/>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37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ED6"/>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7E5"/>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1CAE"/>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36"/>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537"/>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114"/>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7A8"/>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483"/>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778"/>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9F9"/>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07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5F2C"/>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HR33RHYHUWRF-4-7902</_dlc_DocId>
    <_dlc_DocIdUrl xmlns="c06861ca-3f08-4d07-bff7-bb15bac121f4">
      <Url>https://projects.qualcomm.com/sites/pentari/_layouts/15/DocIdRedir.aspx?ID=HR33RHYHUWRF-4-7902</Url>
      <Description>HR33RHYHUWRF-4-7902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F9974172-E31E-485D-88C8-1D835061B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2</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2019-01-12T03:55:00Z</dcterms:created>
  <dcterms:modified xsi:type="dcterms:W3CDTF">2019-01-12T03:55:00Z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9825fa31-4a18-4d42-b8c5-34f8fb9949ab</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